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500" w:type="dxa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00"/>
      </w:tblGrid>
      <w:tr w:rsidR="00F1565E" w:rsidTr="00F1565E">
        <w:trPr>
          <w:tblCellSpacing w:w="0" w:type="dxa"/>
          <w:jc w:val="center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300" w:type="dxa"/>
              <w:bottom w:w="0" w:type="dxa"/>
              <w:right w:w="300" w:type="dxa"/>
            </w:tcMar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900"/>
            </w:tblGrid>
            <w:tr w:rsidR="00F1565E">
              <w:trPr>
                <w:tblCellSpacing w:w="0" w:type="dxa"/>
              </w:trPr>
              <w:tc>
                <w:tcPr>
                  <w:tcW w:w="0" w:type="auto"/>
                  <w:tcMar>
                    <w:top w:w="300" w:type="dxa"/>
                    <w:left w:w="0" w:type="dxa"/>
                    <w:bottom w:w="300" w:type="dxa"/>
                    <w:right w:w="0" w:type="dxa"/>
                  </w:tcMar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900"/>
                  </w:tblGrid>
                  <w:tr w:rsidR="00F1565E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F1565E" w:rsidRDefault="00F1565E">
                        <w:pPr>
                          <w:jc w:val="center"/>
                          <w:rPr>
                            <w:rFonts w:ascii="Helvetica" w:hAnsi="Helvetica" w:cs="Helvetica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z w:val="20"/>
                            <w:szCs w:val="20"/>
                          </w:rPr>
                          <w:drawing>
                            <wp:inline distT="0" distB="0" distL="0" distR="0">
                              <wp:extent cx="1905000" cy="1209675"/>
                              <wp:effectExtent l="0" t="0" r="0" b="9525"/>
                              <wp:docPr id="8" name="Imagem 8" descr="https://static.wixstatic.com/media/402b6a_8eeb97d9ff5c485c8871527380d187c9~mv2.jpg/v1/fit/w_200,h_2000,al_c,q_85/402b6a_8eeb97d9ff5c485c8871527380d187c9~mv2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5" descr="https://static.wixstatic.com/media/402b6a_8eeb97d9ff5c485c8871527380d187c9~mv2.jpg/v1/fit/w_200,h_2000,al_c,q_85/402b6a_8eeb97d9ff5c485c8871527380d187c9~mv2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905000" cy="12096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F1565E" w:rsidRDefault="00F1565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F1565E" w:rsidRDefault="00F1565E">
            <w:pPr>
              <w:textAlignment w:val="top"/>
              <w:rPr>
                <w:sz w:val="2"/>
                <w:szCs w:val="2"/>
              </w:rPr>
            </w:pPr>
          </w:p>
        </w:tc>
      </w:tr>
      <w:tr w:rsidR="00F1565E" w:rsidTr="00F1565E">
        <w:trPr>
          <w:tblCellSpacing w:w="0" w:type="dxa"/>
          <w:jc w:val="center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300" w:type="dxa"/>
              <w:bottom w:w="0" w:type="dxa"/>
              <w:right w:w="300" w:type="dxa"/>
            </w:tcMar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900"/>
            </w:tblGrid>
            <w:tr w:rsidR="00F1565E">
              <w:trPr>
                <w:tblCellSpacing w:w="0" w:type="dxa"/>
              </w:trPr>
              <w:tc>
                <w:tcPr>
                  <w:tcW w:w="0" w:type="auto"/>
                  <w:shd w:val="clear" w:color="auto" w:fill="auto"/>
                  <w:tcMar>
                    <w:top w:w="600" w:type="dxa"/>
                    <w:left w:w="600" w:type="dxa"/>
                    <w:bottom w:w="300" w:type="dxa"/>
                    <w:right w:w="600" w:type="dxa"/>
                  </w:tcMar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700"/>
                  </w:tblGrid>
                  <w:tr w:rsidR="00F1565E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F1565E" w:rsidRDefault="00F1565E">
                        <w:pPr>
                          <w:pStyle w:val="mf-30"/>
                          <w:spacing w:before="0" w:beforeAutospacing="0" w:after="0" w:afterAutospacing="0" w:line="660" w:lineRule="atLeast"/>
                          <w:jc w:val="center"/>
                          <w:rPr>
                            <w:rFonts w:ascii="Helvetica" w:hAnsi="Helvetica" w:cs="Helvetica"/>
                            <w:color w:val="000000"/>
                            <w:sz w:val="60"/>
                            <w:szCs w:val="60"/>
                          </w:rPr>
                        </w:pPr>
                        <w:r>
                          <w:rPr>
                            <w:rStyle w:val="mf-301"/>
                            <w:rFonts w:ascii="Helvetica" w:hAnsi="Helvetica" w:cs="Helvetica"/>
                            <w:b/>
                            <w:bCs/>
                            <w:color w:val="000000"/>
                            <w:sz w:val="60"/>
                            <w:szCs w:val="60"/>
                          </w:rPr>
                          <w:t xml:space="preserve">Circular </w:t>
                        </w:r>
                        <w:proofErr w:type="spellStart"/>
                        <w:r>
                          <w:rPr>
                            <w:rStyle w:val="mf-301"/>
                            <w:rFonts w:ascii="Helvetica" w:hAnsi="Helvetica" w:cs="Helvetica"/>
                            <w:b/>
                            <w:bCs/>
                            <w:color w:val="000000"/>
                            <w:sz w:val="60"/>
                            <w:szCs w:val="60"/>
                          </w:rPr>
                          <w:t>Settrim</w:t>
                        </w:r>
                        <w:proofErr w:type="spellEnd"/>
                        <w:r>
                          <w:rPr>
                            <w:rStyle w:val="mf-301"/>
                            <w:rFonts w:ascii="Helvetica" w:hAnsi="Helvetica" w:cs="Helvetica"/>
                            <w:b/>
                            <w:bCs/>
                            <w:color w:val="000000"/>
                            <w:sz w:val="60"/>
                            <w:szCs w:val="60"/>
                          </w:rPr>
                          <w:t xml:space="preserve"> 13/2026 </w:t>
                        </w:r>
                      </w:p>
                    </w:tc>
                  </w:tr>
                </w:tbl>
                <w:p w:rsidR="00F1565E" w:rsidRDefault="00F1565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F1565E" w:rsidRDefault="00F1565E">
            <w:pPr>
              <w:textAlignment w:val="top"/>
              <w:rPr>
                <w:sz w:val="2"/>
                <w:szCs w:val="2"/>
              </w:rPr>
            </w:pPr>
          </w:p>
        </w:tc>
      </w:tr>
    </w:tbl>
    <w:p w:rsidR="00F1565E" w:rsidRDefault="00F1565E" w:rsidP="00F1565E">
      <w:pPr>
        <w:shd w:val="clear" w:color="auto" w:fill="FFFFFF"/>
        <w:jc w:val="center"/>
        <w:rPr>
          <w:rFonts w:ascii="Helvetica" w:hAnsi="Helvetica" w:cs="Helvetica"/>
          <w:b/>
          <w:bCs/>
          <w:vanish/>
          <w:color w:val="000000"/>
          <w:sz w:val="60"/>
          <w:szCs w:val="60"/>
        </w:rPr>
      </w:pPr>
    </w:p>
    <w:tbl>
      <w:tblPr>
        <w:tblW w:w="10500" w:type="dxa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00"/>
      </w:tblGrid>
      <w:tr w:rsidR="00F1565E" w:rsidTr="00F1565E">
        <w:trPr>
          <w:tblCellSpacing w:w="0" w:type="dxa"/>
          <w:jc w:val="center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300" w:type="dxa"/>
              <w:bottom w:w="0" w:type="dxa"/>
              <w:right w:w="300" w:type="dxa"/>
            </w:tcMar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900"/>
            </w:tblGrid>
            <w:tr w:rsidR="00F1565E">
              <w:trPr>
                <w:tblCellSpacing w:w="0" w:type="dxa"/>
              </w:trPr>
              <w:tc>
                <w:tcPr>
                  <w:tcW w:w="0" w:type="auto"/>
                  <w:shd w:val="clear" w:color="auto" w:fill="auto"/>
                  <w:tcMar>
                    <w:top w:w="600" w:type="dxa"/>
                    <w:left w:w="600" w:type="dxa"/>
                    <w:bottom w:w="600" w:type="dxa"/>
                    <w:right w:w="600" w:type="dxa"/>
                  </w:tcMar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700"/>
                  </w:tblGrid>
                  <w:tr w:rsidR="00F1565E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F1565E" w:rsidRDefault="00F1565E">
                        <w:pPr>
                          <w:pStyle w:val="mf-30"/>
                          <w:spacing w:before="0" w:beforeAutospacing="0" w:after="0" w:afterAutospacing="0" w:line="300" w:lineRule="atLeast"/>
                          <w:jc w:val="right"/>
                          <w:rPr>
                            <w:rFonts w:ascii="Helvetica" w:hAnsi="Helvetica" w:cs="Helvetica"/>
                            <w:color w:val="000000"/>
                            <w:sz w:val="60"/>
                            <w:szCs w:val="60"/>
                          </w:rPr>
                        </w:pPr>
                        <w:r>
                          <w:rPr>
                            <w:rStyle w:val="mf-14"/>
                            <w:rFonts w:ascii="Arial" w:hAnsi="Arial" w:cs="Arial"/>
                            <w:color w:val="000000"/>
                            <w:sz w:val="21"/>
                            <w:szCs w:val="21"/>
                          </w:rPr>
                          <w:t>SETTRIM</w:t>
                        </w:r>
                        <w:r>
                          <w:rPr>
                            <w:rStyle w:val="mf-14"/>
                            <w:rFonts w:ascii="Arial" w:hAnsi="Arial" w:cs="Arial"/>
                            <w:color w:val="000000"/>
                            <w:spacing w:val="-5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Style w:val="mf-14"/>
                            <w:rFonts w:ascii="Arial" w:hAnsi="Arial" w:cs="Arial"/>
                            <w:color w:val="000000"/>
                            <w:sz w:val="21"/>
                            <w:szCs w:val="21"/>
                          </w:rPr>
                          <w:t>–</w:t>
                        </w:r>
                        <w:r>
                          <w:rPr>
                            <w:rStyle w:val="mf-14"/>
                            <w:rFonts w:ascii="Arial" w:hAnsi="Arial" w:cs="Arial"/>
                            <w:color w:val="000000"/>
                            <w:spacing w:val="-14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Style w:val="mf-14"/>
                            <w:rFonts w:ascii="Arial" w:hAnsi="Arial" w:cs="Arial"/>
                            <w:color w:val="000000"/>
                            <w:sz w:val="21"/>
                            <w:szCs w:val="21"/>
                          </w:rPr>
                          <w:t>SINDICATO</w:t>
                        </w:r>
                        <w:r>
                          <w:rPr>
                            <w:rStyle w:val="mf-14"/>
                            <w:rFonts w:ascii="Arial" w:hAnsi="Arial" w:cs="Arial"/>
                            <w:color w:val="000000"/>
                            <w:spacing w:val="-10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Style w:val="mf-14"/>
                            <w:rFonts w:ascii="Arial" w:hAnsi="Arial" w:cs="Arial"/>
                            <w:color w:val="000000"/>
                            <w:sz w:val="21"/>
                            <w:szCs w:val="21"/>
                          </w:rPr>
                          <w:t>DAS</w:t>
                        </w:r>
                        <w:r>
                          <w:rPr>
                            <w:rStyle w:val="mf-14"/>
                            <w:rFonts w:ascii="Arial" w:hAnsi="Arial" w:cs="Arial"/>
                            <w:color w:val="000000"/>
                            <w:spacing w:val="-6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Style w:val="mf-14"/>
                            <w:rFonts w:ascii="Arial" w:hAnsi="Arial" w:cs="Arial"/>
                            <w:color w:val="000000"/>
                            <w:sz w:val="21"/>
                            <w:szCs w:val="21"/>
                          </w:rPr>
                          <w:t>EMPRESAS</w:t>
                        </w:r>
                        <w:r>
                          <w:rPr>
                            <w:rStyle w:val="mf-14"/>
                            <w:rFonts w:ascii="Arial" w:hAnsi="Arial" w:cs="Arial"/>
                            <w:color w:val="000000"/>
                            <w:spacing w:val="-10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Style w:val="mf-14"/>
                            <w:rFonts w:ascii="Arial" w:hAnsi="Arial" w:cs="Arial"/>
                            <w:color w:val="000000"/>
                            <w:sz w:val="21"/>
                            <w:szCs w:val="21"/>
                          </w:rPr>
                          <w:t>DE</w:t>
                        </w:r>
                        <w:r>
                          <w:rPr>
                            <w:rStyle w:val="mf-14"/>
                            <w:rFonts w:ascii="Arial" w:hAnsi="Arial" w:cs="Arial"/>
                            <w:color w:val="000000"/>
                            <w:spacing w:val="-13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Style w:val="mf-14"/>
                            <w:rFonts w:ascii="Arial" w:hAnsi="Arial" w:cs="Arial"/>
                            <w:color w:val="000000"/>
                            <w:sz w:val="21"/>
                            <w:szCs w:val="21"/>
                          </w:rPr>
                          <w:t>TRANSPORTES</w:t>
                        </w:r>
                        <w:r>
                          <w:rPr>
                            <w:rStyle w:val="mf-14"/>
                            <w:rFonts w:ascii="Arial" w:hAnsi="Arial" w:cs="Arial"/>
                            <w:color w:val="000000"/>
                            <w:spacing w:val="-10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Style w:val="mf-14"/>
                            <w:rFonts w:ascii="Arial" w:hAnsi="Arial" w:cs="Arial"/>
                            <w:color w:val="000000"/>
                            <w:sz w:val="21"/>
                            <w:szCs w:val="21"/>
                          </w:rPr>
                          <w:t>DE</w:t>
                        </w:r>
                        <w:r>
                          <w:rPr>
                            <w:rStyle w:val="mf-14"/>
                            <w:rFonts w:ascii="Arial" w:hAnsi="Arial" w:cs="Arial"/>
                            <w:color w:val="000000"/>
                            <w:spacing w:val="-14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Style w:val="mf-14"/>
                            <w:rFonts w:ascii="Arial" w:hAnsi="Arial" w:cs="Arial"/>
                            <w:color w:val="000000"/>
                            <w:sz w:val="21"/>
                            <w:szCs w:val="21"/>
                          </w:rPr>
                          <w:t>CARGAS</w:t>
                        </w:r>
                        <w:r>
                          <w:rPr>
                            <w:rStyle w:val="mf-14"/>
                            <w:rFonts w:ascii="Arial" w:hAnsi="Arial" w:cs="Arial"/>
                            <w:color w:val="000000"/>
                            <w:spacing w:val="-7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Style w:val="mf-14"/>
                            <w:rFonts w:ascii="Arial" w:hAnsi="Arial" w:cs="Arial"/>
                            <w:color w:val="000000"/>
                            <w:sz w:val="21"/>
                            <w:szCs w:val="21"/>
                          </w:rPr>
                          <w:t>E</w:t>
                        </w:r>
                        <w:r>
                          <w:rPr>
                            <w:rStyle w:val="mf-14"/>
                            <w:rFonts w:ascii="Arial" w:hAnsi="Arial" w:cs="Arial"/>
                            <w:color w:val="000000"/>
                            <w:spacing w:val="-11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Style w:val="mf-14"/>
                            <w:rFonts w:ascii="Arial" w:hAnsi="Arial" w:cs="Arial"/>
                            <w:color w:val="000000"/>
                            <w:sz w:val="21"/>
                            <w:szCs w:val="21"/>
                          </w:rPr>
                          <w:t>LOGÍSTICA DO TRIÂNGULO MINEIRO</w:t>
                        </w:r>
                      </w:p>
                      <w:p w:rsidR="00F1565E" w:rsidRDefault="00F1565E">
                        <w:pPr>
                          <w:pStyle w:val="Corpodetexto"/>
                          <w:spacing w:before="0" w:beforeAutospacing="0" w:after="0" w:afterAutospacing="0" w:line="300" w:lineRule="atLeast"/>
                          <w:jc w:val="right"/>
                          <w:rPr>
                            <w:rFonts w:ascii="Helvetica" w:hAnsi="Helvetica" w:cs="Helvetica"/>
                            <w:color w:val="000000"/>
                            <w:sz w:val="60"/>
                            <w:szCs w:val="60"/>
                          </w:rPr>
                        </w:pPr>
                        <w:r>
                          <w:rPr>
                            <w:rStyle w:val="mf-14"/>
                            <w:rFonts w:ascii="Tahoma" w:hAnsi="Tahoma" w:cs="Tahoma"/>
                            <w:color w:val="000000"/>
                            <w:spacing w:val="-2"/>
                            <w:sz w:val="21"/>
                            <w:szCs w:val="21"/>
                          </w:rPr>
                          <w:t>Uberlândia-MG,</w:t>
                        </w:r>
                        <w:r>
                          <w:rPr>
                            <w:rStyle w:val="mf-14"/>
                            <w:rFonts w:ascii="Tahoma" w:hAnsi="Tahoma" w:cs="Tahoma"/>
                            <w:color w:val="000000"/>
                            <w:spacing w:val="-7"/>
                            <w:sz w:val="21"/>
                            <w:szCs w:val="21"/>
                          </w:rPr>
                          <w:t xml:space="preserve"> 08 </w:t>
                        </w:r>
                        <w:r>
                          <w:rPr>
                            <w:rStyle w:val="mf-14"/>
                            <w:rFonts w:ascii="Tahoma" w:hAnsi="Tahoma" w:cs="Tahoma"/>
                            <w:color w:val="000000"/>
                            <w:sz w:val="21"/>
                            <w:szCs w:val="21"/>
                          </w:rPr>
                          <w:t>de junho de 2026</w:t>
                        </w:r>
                        <w:r>
                          <w:rPr>
                            <w:rStyle w:val="mf-14"/>
                            <w:rFonts w:ascii="Helvetica" w:hAnsi="Helvetica" w:cs="Helvetica"/>
                            <w:color w:val="000000"/>
                            <w:sz w:val="21"/>
                            <w:szCs w:val="21"/>
                          </w:rPr>
                          <w:t xml:space="preserve"> </w:t>
                        </w:r>
                      </w:p>
                      <w:p w:rsidR="00F1565E" w:rsidRDefault="00F1565E">
                        <w:pPr>
                          <w:pStyle w:val="Ttulo1"/>
                          <w:spacing w:before="0" w:beforeAutospacing="0" w:after="0" w:afterAutospacing="0" w:line="300" w:lineRule="atLeast"/>
                          <w:jc w:val="center"/>
                          <w:rPr>
                            <w:rFonts w:ascii="Helvetica" w:hAnsi="Helvetica" w:cs="Helvetica"/>
                            <w:b w:val="0"/>
                            <w:bCs w:val="0"/>
                            <w:color w:val="000000"/>
                            <w:sz w:val="60"/>
                            <w:szCs w:val="60"/>
                          </w:rPr>
                        </w:pPr>
                        <w:r>
                          <w:rPr>
                            <w:rStyle w:val="mf-301"/>
                            <w:rFonts w:ascii="Helvetica" w:hAnsi="Helvetica" w:cs="Helvetica"/>
                            <w:b w:val="0"/>
                            <w:bCs w:val="0"/>
                            <w:color w:val="000000"/>
                            <w:sz w:val="60"/>
                            <w:szCs w:val="60"/>
                          </w:rPr>
                          <w:t> </w:t>
                        </w:r>
                      </w:p>
                      <w:p w:rsidR="00F1565E" w:rsidRDefault="00F1565E">
                        <w:pPr>
                          <w:pStyle w:val="mf-30"/>
                          <w:spacing w:before="0" w:beforeAutospacing="0" w:after="0" w:afterAutospacing="0" w:line="300" w:lineRule="atLeast"/>
                          <w:jc w:val="both"/>
                          <w:rPr>
                            <w:rFonts w:ascii="Helvetica" w:hAnsi="Helvetica" w:cs="Helvetica"/>
                            <w:color w:val="000000"/>
                            <w:sz w:val="60"/>
                            <w:szCs w:val="60"/>
                          </w:rPr>
                        </w:pPr>
                        <w:r>
                          <w:rPr>
                            <w:rStyle w:val="mf-14"/>
                            <w:rFonts w:ascii="Tahoma" w:hAnsi="Tahoma" w:cs="Tahoma"/>
                            <w:color w:val="000000"/>
                            <w:spacing w:val="-2"/>
                            <w:sz w:val="21"/>
                            <w:szCs w:val="21"/>
                          </w:rPr>
                          <w:t>Aos</w:t>
                        </w:r>
                        <w:r>
                          <w:rPr>
                            <w:rFonts w:ascii="Helvetica" w:hAnsi="Helvetica" w:cs="Helvetica"/>
                            <w:color w:val="000000"/>
                            <w:sz w:val="60"/>
                            <w:szCs w:val="60"/>
                          </w:rPr>
                          <w:br/>
                        </w:r>
                        <w:r>
                          <w:rPr>
                            <w:rStyle w:val="mf-14"/>
                            <w:rFonts w:ascii="Tahoma" w:hAnsi="Tahoma" w:cs="Tahoma"/>
                            <w:color w:val="000000"/>
                            <w:spacing w:val="-2"/>
                            <w:sz w:val="21"/>
                            <w:szCs w:val="21"/>
                          </w:rPr>
                          <w:t>Senhores Empresários e Empresas Associadas ao SETTRIM</w:t>
                        </w:r>
                      </w:p>
                      <w:p w:rsidR="00F1565E" w:rsidRDefault="00F1565E">
                        <w:pPr>
                          <w:pStyle w:val="mf-30"/>
                          <w:spacing w:before="0" w:beforeAutospacing="0" w:after="0" w:afterAutospacing="0" w:line="300" w:lineRule="atLeast"/>
                          <w:jc w:val="both"/>
                          <w:rPr>
                            <w:rFonts w:ascii="Helvetica" w:hAnsi="Helvetica" w:cs="Helvetica"/>
                            <w:color w:val="000000"/>
                            <w:sz w:val="60"/>
                            <w:szCs w:val="60"/>
                          </w:rPr>
                        </w:pPr>
                        <w:r>
                          <w:rPr>
                            <w:rStyle w:val="mf-14"/>
                            <w:rFonts w:ascii="Tahoma" w:hAnsi="Tahoma" w:cs="Tahoma"/>
                            <w:color w:val="000000"/>
                            <w:spacing w:val="-2"/>
                            <w:sz w:val="21"/>
                            <w:szCs w:val="21"/>
                          </w:rPr>
                          <w:t>Prezados Senhores,</w:t>
                        </w:r>
                      </w:p>
                      <w:p w:rsidR="00F1565E" w:rsidRDefault="00F1565E">
                        <w:pPr>
                          <w:pStyle w:val="mf-30"/>
                          <w:spacing w:before="0" w:beforeAutospacing="0" w:after="0" w:afterAutospacing="0" w:line="300" w:lineRule="atLeast"/>
                          <w:jc w:val="both"/>
                          <w:rPr>
                            <w:rFonts w:ascii="Helvetica" w:hAnsi="Helvetica" w:cs="Helvetica"/>
                            <w:color w:val="000000"/>
                            <w:sz w:val="60"/>
                            <w:szCs w:val="60"/>
                          </w:rPr>
                        </w:pPr>
                        <w:r>
                          <w:rPr>
                            <w:rStyle w:val="mf-14"/>
                            <w:rFonts w:ascii="Tahoma" w:hAnsi="Tahoma" w:cs="Tahoma"/>
                            <w:color w:val="000000"/>
                            <w:spacing w:val="-2"/>
                            <w:sz w:val="21"/>
                            <w:szCs w:val="21"/>
                          </w:rPr>
                          <w:t>O SINDICATO DAS EMPRESAS DE TRANSPORTES DE CARGAS E LOGÍSTICA DO TRIÂNGULO MINEIRO – SETTRIM informa às empresas associadas e transportadores da região sobre a publicação da nova redação da Norma Regulamentadora nº 10 (NR-10) – Segurança em Instalações Elétricas e Serviços em Eletricidade, aprovada por meio da Portaria MTE nº 737/2026, publicada no Diário Oficial da União em 01 de junho de 2026.</w:t>
                        </w:r>
                      </w:p>
                      <w:p w:rsidR="00F1565E" w:rsidRDefault="00F1565E">
                        <w:pPr>
                          <w:pStyle w:val="mf-30"/>
                          <w:spacing w:before="0" w:beforeAutospacing="0" w:after="0" w:afterAutospacing="0" w:line="300" w:lineRule="atLeast"/>
                          <w:jc w:val="both"/>
                          <w:rPr>
                            <w:rFonts w:ascii="Helvetica" w:hAnsi="Helvetica" w:cs="Helvetica"/>
                            <w:color w:val="000000"/>
                            <w:sz w:val="60"/>
                            <w:szCs w:val="60"/>
                          </w:rPr>
                        </w:pPr>
                        <w:r>
                          <w:rPr>
                            <w:rStyle w:val="mf-14"/>
                            <w:rFonts w:ascii="Tahoma" w:hAnsi="Tahoma" w:cs="Tahoma"/>
                            <w:color w:val="000000"/>
                            <w:spacing w:val="-2"/>
                            <w:sz w:val="21"/>
                            <w:szCs w:val="21"/>
                          </w:rPr>
                          <w:t>A atualização promovida pelo Ministério do Trabalho e Emprego estabelece novas diretrizes relacionadas à segurança em atividades envolvendo instalações elétricas energizadas ou desenergizadas, abrangendo operações de geração, transmissão, distribuição e consumo de energia elétrica.</w:t>
                        </w:r>
                      </w:p>
                      <w:p w:rsidR="00F1565E" w:rsidRDefault="00F1565E">
                        <w:pPr>
                          <w:pStyle w:val="mf-30"/>
                          <w:spacing w:before="0" w:beforeAutospacing="0" w:after="0" w:afterAutospacing="0" w:line="300" w:lineRule="atLeast"/>
                          <w:jc w:val="both"/>
                          <w:rPr>
                            <w:rFonts w:ascii="Helvetica" w:hAnsi="Helvetica" w:cs="Helvetica"/>
                            <w:color w:val="000000"/>
                            <w:sz w:val="60"/>
                            <w:szCs w:val="60"/>
                          </w:rPr>
                        </w:pPr>
                        <w:r>
                          <w:rPr>
                            <w:rStyle w:val="mf-14"/>
                            <w:rFonts w:ascii="Tahoma" w:hAnsi="Tahoma" w:cs="Tahoma"/>
                            <w:color w:val="000000"/>
                            <w:spacing w:val="-2"/>
                            <w:sz w:val="21"/>
                            <w:szCs w:val="21"/>
                          </w:rPr>
                          <w:t>Entre as principais alterações promovidas pela nova regulamentação, destacam-se:</w:t>
                        </w:r>
                      </w:p>
                      <w:p w:rsidR="00F1565E" w:rsidRDefault="00F1565E">
                        <w:pPr>
                          <w:pStyle w:val="mf-30"/>
                          <w:spacing w:before="0" w:beforeAutospacing="0" w:after="0" w:afterAutospacing="0" w:line="300" w:lineRule="atLeast"/>
                          <w:jc w:val="both"/>
                          <w:rPr>
                            <w:rFonts w:ascii="Helvetica" w:hAnsi="Helvetica" w:cs="Helvetica"/>
                            <w:color w:val="000000"/>
                            <w:sz w:val="60"/>
                            <w:szCs w:val="60"/>
                          </w:rPr>
                        </w:pPr>
                        <w:r>
                          <w:rPr>
                            <w:rStyle w:val="mf-14"/>
                            <w:rFonts w:ascii="Tahoma" w:hAnsi="Tahoma" w:cs="Tahoma"/>
                            <w:color w:val="000000"/>
                            <w:spacing w:val="-2"/>
                            <w:sz w:val="21"/>
                            <w:szCs w:val="21"/>
                          </w:rPr>
                          <w:t>• A obrigatoriedade da implementação do Gerenciamento de Riscos Ocupacionais (GRO), com inclusão específica dos riscos relacionados a choque elétrico e arco elétrico;</w:t>
                        </w:r>
                      </w:p>
                      <w:p w:rsidR="00F1565E" w:rsidRDefault="00F1565E">
                        <w:pPr>
                          <w:pStyle w:val="mf-30"/>
                          <w:spacing w:before="0" w:beforeAutospacing="0" w:after="0" w:afterAutospacing="0" w:line="300" w:lineRule="atLeast"/>
                          <w:jc w:val="both"/>
                          <w:rPr>
                            <w:rFonts w:ascii="Helvetica" w:hAnsi="Helvetica" w:cs="Helvetica"/>
                            <w:color w:val="000000"/>
                            <w:sz w:val="60"/>
                            <w:szCs w:val="60"/>
                          </w:rPr>
                        </w:pPr>
                        <w:r>
                          <w:rPr>
                            <w:rStyle w:val="mf-14"/>
                            <w:rFonts w:ascii="Tahoma" w:hAnsi="Tahoma" w:cs="Tahoma"/>
                            <w:color w:val="000000"/>
                            <w:spacing w:val="-2"/>
                            <w:sz w:val="21"/>
                            <w:szCs w:val="21"/>
                          </w:rPr>
                          <w:t>• A reorganização dos treinamentos obrigatórios previstos na NR-10, incluindo capacitações básicas, complementares e reciclagens periódicas;</w:t>
                        </w:r>
                      </w:p>
                      <w:p w:rsidR="00F1565E" w:rsidRDefault="00F1565E">
                        <w:pPr>
                          <w:pStyle w:val="mf-30"/>
                          <w:spacing w:before="0" w:beforeAutospacing="0" w:after="0" w:afterAutospacing="0" w:line="300" w:lineRule="atLeast"/>
                          <w:jc w:val="both"/>
                          <w:rPr>
                            <w:rFonts w:ascii="Helvetica" w:hAnsi="Helvetica" w:cs="Helvetica"/>
                            <w:color w:val="000000"/>
                            <w:sz w:val="60"/>
                            <w:szCs w:val="60"/>
                          </w:rPr>
                        </w:pPr>
                        <w:r>
                          <w:rPr>
                            <w:rStyle w:val="mf-14"/>
                            <w:rFonts w:ascii="Tahoma" w:hAnsi="Tahoma" w:cs="Tahoma"/>
                            <w:color w:val="000000"/>
                            <w:spacing w:val="-2"/>
                            <w:sz w:val="21"/>
                            <w:szCs w:val="21"/>
                          </w:rPr>
                          <w:t>• A exigência de utilização de Dispositivo Diferencial-Residual (DDR) em determinadas instalações elétricas;</w:t>
                        </w:r>
                      </w:p>
                      <w:p w:rsidR="00F1565E" w:rsidRDefault="00F1565E">
                        <w:pPr>
                          <w:pStyle w:val="mf-30"/>
                          <w:spacing w:before="0" w:beforeAutospacing="0" w:after="0" w:afterAutospacing="0" w:line="300" w:lineRule="atLeast"/>
                          <w:jc w:val="both"/>
                          <w:rPr>
                            <w:rFonts w:ascii="Helvetica" w:hAnsi="Helvetica" w:cs="Helvetica"/>
                            <w:color w:val="000000"/>
                            <w:sz w:val="60"/>
                            <w:szCs w:val="60"/>
                          </w:rPr>
                        </w:pPr>
                        <w:r>
                          <w:rPr>
                            <w:rStyle w:val="mf-14"/>
                            <w:rFonts w:ascii="Tahoma" w:hAnsi="Tahoma" w:cs="Tahoma"/>
                            <w:color w:val="000000"/>
                            <w:spacing w:val="-2"/>
                            <w:sz w:val="21"/>
                            <w:szCs w:val="21"/>
                          </w:rPr>
                          <w:t>• A definição de novas exigências relacionadas aos Equipamentos de Proteção Individual (EPIs) voltados à proteção contra arco elétrico;</w:t>
                        </w:r>
                      </w:p>
                      <w:p w:rsidR="00F1565E" w:rsidRDefault="00F1565E">
                        <w:pPr>
                          <w:pStyle w:val="mf-30"/>
                          <w:spacing w:before="0" w:beforeAutospacing="0" w:after="0" w:afterAutospacing="0" w:line="300" w:lineRule="atLeast"/>
                          <w:jc w:val="both"/>
                          <w:rPr>
                            <w:rFonts w:ascii="Helvetica" w:hAnsi="Helvetica" w:cs="Helvetica"/>
                            <w:color w:val="000000"/>
                            <w:sz w:val="60"/>
                            <w:szCs w:val="60"/>
                          </w:rPr>
                        </w:pPr>
                        <w:r>
                          <w:rPr>
                            <w:rStyle w:val="mf-14"/>
                            <w:rFonts w:ascii="Tahoma" w:hAnsi="Tahoma" w:cs="Tahoma"/>
                            <w:color w:val="000000"/>
                            <w:spacing w:val="-2"/>
                            <w:sz w:val="21"/>
                            <w:szCs w:val="21"/>
                          </w:rPr>
                          <w:t>• A necessidade de atualização de procedimentos operacionais, permissões de trabalho, análises de risco e documentação técnica das instalações elétricas.</w:t>
                        </w:r>
                      </w:p>
                      <w:p w:rsidR="00F1565E" w:rsidRDefault="00F1565E">
                        <w:pPr>
                          <w:pStyle w:val="mf-30"/>
                          <w:spacing w:before="0" w:beforeAutospacing="0" w:after="0" w:afterAutospacing="0" w:line="300" w:lineRule="atLeast"/>
                          <w:jc w:val="both"/>
                          <w:rPr>
                            <w:rFonts w:ascii="Helvetica" w:hAnsi="Helvetica" w:cs="Helvetica"/>
                            <w:color w:val="000000"/>
                            <w:sz w:val="60"/>
                            <w:szCs w:val="60"/>
                          </w:rPr>
                        </w:pPr>
                        <w:r>
                          <w:rPr>
                            <w:rStyle w:val="mf-14"/>
                            <w:rFonts w:ascii="Tahoma" w:hAnsi="Tahoma" w:cs="Tahoma"/>
                            <w:color w:val="000000"/>
                            <w:spacing w:val="-2"/>
                            <w:sz w:val="21"/>
                            <w:szCs w:val="21"/>
                          </w:rPr>
                          <w:lastRenderedPageBreak/>
                          <w:t>Conforme disposto na nova regulamentação, a NR-10 entrará em vigor em 1º de junho de 2027, período no qual as empresas deverão promover adequações em suas instalações, procedimentos internos e programas de segurança do trabalho.</w:t>
                        </w:r>
                      </w:p>
                      <w:p w:rsidR="00F1565E" w:rsidRDefault="00F1565E">
                        <w:pPr>
                          <w:pStyle w:val="mf-30"/>
                          <w:spacing w:before="0" w:beforeAutospacing="0" w:after="0" w:afterAutospacing="0" w:line="300" w:lineRule="atLeast"/>
                          <w:jc w:val="both"/>
                          <w:rPr>
                            <w:rFonts w:ascii="Helvetica" w:hAnsi="Helvetica" w:cs="Helvetica"/>
                            <w:color w:val="000000"/>
                            <w:sz w:val="60"/>
                            <w:szCs w:val="60"/>
                          </w:rPr>
                        </w:pPr>
                        <w:r>
                          <w:rPr>
                            <w:rStyle w:val="mf-14"/>
                            <w:rFonts w:ascii="Tahoma" w:hAnsi="Tahoma" w:cs="Tahoma"/>
                            <w:color w:val="000000"/>
                            <w:spacing w:val="-2"/>
                            <w:sz w:val="21"/>
                            <w:szCs w:val="21"/>
                          </w:rPr>
                          <w:t>Diante da relevância do tema e dos impactos relacionados à segurança ocupacional e conformidade legal, o SETTRIM orienta as empresas transportadoras a realizarem avaliação preventiva de seus processos internos, observando rigorosamente:</w:t>
                        </w:r>
                      </w:p>
                      <w:p w:rsidR="00F1565E" w:rsidRDefault="00F1565E">
                        <w:pPr>
                          <w:pStyle w:val="mf-30"/>
                          <w:spacing w:before="0" w:beforeAutospacing="0" w:after="0" w:afterAutospacing="0" w:line="300" w:lineRule="atLeast"/>
                          <w:jc w:val="both"/>
                          <w:rPr>
                            <w:rFonts w:ascii="Helvetica" w:hAnsi="Helvetica" w:cs="Helvetica"/>
                            <w:color w:val="000000"/>
                            <w:sz w:val="60"/>
                            <w:szCs w:val="60"/>
                          </w:rPr>
                        </w:pPr>
                        <w:r>
                          <w:rPr>
                            <w:rStyle w:val="mf-14"/>
                            <w:rFonts w:ascii="Tahoma" w:hAnsi="Tahoma" w:cs="Tahoma"/>
                            <w:color w:val="000000"/>
                            <w:spacing w:val="-2"/>
                            <w:sz w:val="21"/>
                            <w:szCs w:val="21"/>
                          </w:rPr>
                          <w:t>• A atualização do Programa de Gerenciamento de Riscos (PGR/GRO);</w:t>
                        </w:r>
                      </w:p>
                      <w:p w:rsidR="00F1565E" w:rsidRDefault="00F1565E">
                        <w:pPr>
                          <w:pStyle w:val="mf-30"/>
                          <w:spacing w:before="0" w:beforeAutospacing="0" w:after="0" w:afterAutospacing="0" w:line="300" w:lineRule="atLeast"/>
                          <w:jc w:val="both"/>
                          <w:rPr>
                            <w:rFonts w:ascii="Helvetica" w:hAnsi="Helvetica" w:cs="Helvetica"/>
                            <w:color w:val="000000"/>
                            <w:sz w:val="60"/>
                            <w:szCs w:val="60"/>
                          </w:rPr>
                        </w:pPr>
                        <w:r>
                          <w:rPr>
                            <w:rStyle w:val="mf-14"/>
                            <w:rFonts w:ascii="Tahoma" w:hAnsi="Tahoma" w:cs="Tahoma"/>
                            <w:color w:val="000000"/>
                            <w:spacing w:val="-2"/>
                            <w:sz w:val="21"/>
                            <w:szCs w:val="21"/>
                          </w:rPr>
                          <w:t>• A regularização dos treinamentos obrigatórios dos trabalhadores;</w:t>
                        </w:r>
                      </w:p>
                      <w:p w:rsidR="00F1565E" w:rsidRDefault="00F1565E">
                        <w:pPr>
                          <w:pStyle w:val="mf-30"/>
                          <w:spacing w:before="0" w:beforeAutospacing="0" w:after="0" w:afterAutospacing="0" w:line="300" w:lineRule="atLeast"/>
                          <w:jc w:val="both"/>
                          <w:rPr>
                            <w:rFonts w:ascii="Helvetica" w:hAnsi="Helvetica" w:cs="Helvetica"/>
                            <w:color w:val="000000"/>
                            <w:sz w:val="60"/>
                            <w:szCs w:val="60"/>
                          </w:rPr>
                        </w:pPr>
                        <w:r>
                          <w:rPr>
                            <w:rStyle w:val="mf-14"/>
                            <w:rFonts w:ascii="Tahoma" w:hAnsi="Tahoma" w:cs="Tahoma"/>
                            <w:color w:val="000000"/>
                            <w:spacing w:val="-2"/>
                            <w:sz w:val="21"/>
                            <w:szCs w:val="21"/>
                          </w:rPr>
                          <w:t>• A adequação das instalações elétricas e dispositivos de proteção;</w:t>
                        </w:r>
                      </w:p>
                      <w:p w:rsidR="00F1565E" w:rsidRDefault="00F1565E">
                        <w:pPr>
                          <w:pStyle w:val="mf-30"/>
                          <w:spacing w:before="0" w:beforeAutospacing="0" w:after="0" w:afterAutospacing="0" w:line="300" w:lineRule="atLeast"/>
                          <w:jc w:val="both"/>
                          <w:rPr>
                            <w:rFonts w:ascii="Helvetica" w:hAnsi="Helvetica" w:cs="Helvetica"/>
                            <w:color w:val="000000"/>
                            <w:sz w:val="60"/>
                            <w:szCs w:val="60"/>
                          </w:rPr>
                        </w:pPr>
                        <w:r>
                          <w:rPr>
                            <w:rStyle w:val="mf-14"/>
                            <w:rFonts w:ascii="Tahoma" w:hAnsi="Tahoma" w:cs="Tahoma"/>
                            <w:color w:val="000000"/>
                            <w:spacing w:val="-2"/>
                            <w:sz w:val="21"/>
                            <w:szCs w:val="21"/>
                          </w:rPr>
                          <w:t>• A manutenção atualizada dos documentos técnicos e prontuários exigidos pela legislação.</w:t>
                        </w:r>
                      </w:p>
                      <w:p w:rsidR="00F1565E" w:rsidRDefault="00F1565E">
                        <w:pPr>
                          <w:pStyle w:val="mf-30"/>
                          <w:spacing w:before="0" w:beforeAutospacing="0" w:after="0" w:afterAutospacing="0" w:line="300" w:lineRule="atLeast"/>
                          <w:jc w:val="both"/>
                          <w:rPr>
                            <w:rFonts w:ascii="Helvetica" w:hAnsi="Helvetica" w:cs="Helvetica"/>
                            <w:color w:val="000000"/>
                            <w:sz w:val="60"/>
                            <w:szCs w:val="60"/>
                          </w:rPr>
                        </w:pPr>
                        <w:r>
                          <w:rPr>
                            <w:rStyle w:val="mf-14"/>
                            <w:rFonts w:ascii="Tahoma" w:hAnsi="Tahoma" w:cs="Tahoma"/>
                            <w:color w:val="000000"/>
                            <w:spacing w:val="-2"/>
                            <w:sz w:val="21"/>
                            <w:szCs w:val="21"/>
                          </w:rPr>
                          <w:t>O SETTRIM permanece à disposição para esclarecimentos adicionais e reforça a importância da adoção antecipada das medidas necessárias para adequação à nova NR-10.</w:t>
                        </w:r>
                      </w:p>
                      <w:p w:rsidR="00F1565E" w:rsidRDefault="00F1565E">
                        <w:pPr>
                          <w:pStyle w:val="mf-30"/>
                          <w:spacing w:before="0" w:beforeAutospacing="0" w:after="0" w:afterAutospacing="0" w:line="300" w:lineRule="atLeast"/>
                          <w:jc w:val="both"/>
                          <w:rPr>
                            <w:rFonts w:ascii="Helvetica" w:hAnsi="Helvetica" w:cs="Helvetica"/>
                            <w:color w:val="000000"/>
                            <w:sz w:val="60"/>
                            <w:szCs w:val="60"/>
                          </w:rPr>
                        </w:pPr>
                        <w:r>
                          <w:rPr>
                            <w:rStyle w:val="mf-301"/>
                            <w:rFonts w:ascii="Helvetica" w:hAnsi="Helvetica" w:cs="Helvetica"/>
                            <w:color w:val="000000"/>
                            <w:sz w:val="60"/>
                            <w:szCs w:val="60"/>
                          </w:rPr>
                          <w:t> </w:t>
                        </w:r>
                      </w:p>
                    </w:tc>
                  </w:tr>
                </w:tbl>
                <w:p w:rsidR="00F1565E" w:rsidRDefault="00F1565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F1565E" w:rsidRDefault="00F1565E">
            <w:pPr>
              <w:textAlignment w:val="top"/>
              <w:rPr>
                <w:sz w:val="2"/>
                <w:szCs w:val="2"/>
              </w:rPr>
            </w:pPr>
          </w:p>
        </w:tc>
      </w:tr>
    </w:tbl>
    <w:p w:rsidR="00F1565E" w:rsidRDefault="00F1565E" w:rsidP="00F1565E">
      <w:pPr>
        <w:shd w:val="clear" w:color="auto" w:fill="FFFFFF"/>
        <w:jc w:val="center"/>
        <w:rPr>
          <w:rFonts w:ascii="Helvetica" w:hAnsi="Helvetica" w:cs="Helvetica"/>
          <w:vanish/>
          <w:color w:val="000000"/>
          <w:sz w:val="27"/>
          <w:szCs w:val="27"/>
        </w:rPr>
      </w:pPr>
    </w:p>
    <w:tbl>
      <w:tblPr>
        <w:tblW w:w="10500" w:type="dxa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00"/>
      </w:tblGrid>
      <w:tr w:rsidR="00F1565E" w:rsidTr="00F1565E">
        <w:trPr>
          <w:tblCellSpacing w:w="0" w:type="dxa"/>
          <w:jc w:val="center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300" w:type="dxa"/>
              <w:bottom w:w="0" w:type="dxa"/>
              <w:right w:w="300" w:type="dxa"/>
            </w:tcMar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900"/>
            </w:tblGrid>
            <w:tr w:rsidR="00F1565E">
              <w:trPr>
                <w:tblCellSpacing w:w="0" w:type="dxa"/>
              </w:trPr>
              <w:tc>
                <w:tcPr>
                  <w:tcW w:w="0" w:type="auto"/>
                  <w:shd w:val="clear" w:color="auto" w:fill="auto"/>
                  <w:tcMar>
                    <w:top w:w="300" w:type="dxa"/>
                    <w:left w:w="600" w:type="dxa"/>
                    <w:bottom w:w="300" w:type="dxa"/>
                    <w:right w:w="600" w:type="dxa"/>
                  </w:tcMar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700"/>
                  </w:tblGrid>
                  <w:tr w:rsidR="00F1565E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F1565E" w:rsidRDefault="00F1565E">
                        <w:pPr>
                          <w:pStyle w:val="mf-141"/>
                          <w:spacing w:before="0" w:beforeAutospacing="0" w:after="0" w:afterAutospacing="0" w:line="330" w:lineRule="atLeast"/>
                          <w:jc w:val="both"/>
                          <w:rPr>
                            <w:rFonts w:ascii="Helvetica" w:hAnsi="Helvetica" w:cs="Helvetica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Style w:val="mf-14"/>
                            <w:rFonts w:ascii="Tahoma" w:hAnsi="Tahoma" w:cs="Tahoma"/>
                            <w:color w:val="000000"/>
                            <w:sz w:val="21"/>
                            <w:szCs w:val="21"/>
                          </w:rPr>
                          <w:t xml:space="preserve">O </w:t>
                        </w:r>
                        <w:proofErr w:type="spellStart"/>
                        <w:r>
                          <w:rPr>
                            <w:rStyle w:val="mf-14"/>
                            <w:rFonts w:ascii="Tahoma" w:hAnsi="Tahoma" w:cs="Tahoma"/>
                            <w:color w:val="000000"/>
                            <w:sz w:val="21"/>
                            <w:szCs w:val="21"/>
                          </w:rPr>
                          <w:t>Settrim</w:t>
                        </w:r>
                        <w:proofErr w:type="spellEnd"/>
                        <w:r>
                          <w:rPr>
                            <w:rStyle w:val="mf-14"/>
                            <w:rFonts w:ascii="Tahoma" w:hAnsi="Tahoma" w:cs="Tahoma"/>
                            <w:color w:val="000000"/>
                            <w:sz w:val="21"/>
                            <w:szCs w:val="21"/>
                          </w:rPr>
                          <w:t xml:space="preserve"> oferece Assessoria Jurídica Especializada no setor de transporte, com atendimento no escritório, de 9h às 12h e de 14h às 17h, em parceria com o escritório Sanders Barão Advogados Associados.</w:t>
                        </w:r>
                      </w:p>
                      <w:p w:rsidR="00F1565E" w:rsidRDefault="00F1565E">
                        <w:pPr>
                          <w:pStyle w:val="mf-141"/>
                          <w:spacing w:before="0" w:beforeAutospacing="0" w:after="0" w:afterAutospacing="0" w:line="330" w:lineRule="atLeast"/>
                          <w:jc w:val="center"/>
                          <w:rPr>
                            <w:rFonts w:ascii="Helvetica" w:hAnsi="Helvetica" w:cs="Helvetica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Style w:val="mf-14"/>
                            <w:rFonts w:ascii="Helvetica" w:hAnsi="Helvetica" w:cs="Helvetica"/>
                            <w:color w:val="000000"/>
                            <w:sz w:val="21"/>
                            <w:szCs w:val="21"/>
                          </w:rPr>
                          <w:t> </w:t>
                        </w:r>
                      </w:p>
                      <w:p w:rsidR="00F1565E" w:rsidRDefault="00F1565E">
                        <w:pPr>
                          <w:pStyle w:val="mf-141"/>
                          <w:spacing w:before="0" w:beforeAutospacing="0" w:after="0" w:afterAutospacing="0" w:line="330" w:lineRule="atLeast"/>
                          <w:jc w:val="both"/>
                          <w:rPr>
                            <w:rFonts w:ascii="Helvetica" w:hAnsi="Helvetica" w:cs="Helvetica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Style w:val="mf-14"/>
                            <w:rFonts w:ascii="Helvetica" w:hAnsi="Helvetica" w:cs="Helvetica"/>
                            <w:color w:val="000000"/>
                            <w:sz w:val="21"/>
                            <w:szCs w:val="21"/>
                          </w:rPr>
                          <w:t>Atenciosamente,</w:t>
                        </w:r>
                      </w:p>
                      <w:p w:rsidR="00F1565E" w:rsidRDefault="00F1565E">
                        <w:pPr>
                          <w:pStyle w:val="mf-141"/>
                          <w:spacing w:before="0" w:beforeAutospacing="0" w:after="0" w:afterAutospacing="0" w:line="330" w:lineRule="atLeast"/>
                          <w:jc w:val="both"/>
                          <w:rPr>
                            <w:rFonts w:ascii="Helvetica" w:hAnsi="Helvetica" w:cs="Helvetica"/>
                            <w:color w:val="000000"/>
                            <w:sz w:val="21"/>
                            <w:szCs w:val="21"/>
                          </w:rPr>
                        </w:pPr>
                        <w:proofErr w:type="spellStart"/>
                        <w:r>
                          <w:rPr>
                            <w:rStyle w:val="mf-14"/>
                            <w:rFonts w:ascii="Helvetica" w:hAnsi="Helvetica" w:cs="Helvetica"/>
                            <w:b/>
                            <w:bCs/>
                            <w:color w:val="000000"/>
                            <w:sz w:val="21"/>
                            <w:szCs w:val="21"/>
                          </w:rPr>
                          <w:t>Settrim</w:t>
                        </w:r>
                        <w:proofErr w:type="spellEnd"/>
                        <w:r>
                          <w:rPr>
                            <w:rStyle w:val="mf-14"/>
                            <w:rFonts w:ascii="Helvetica" w:hAnsi="Helvetica" w:cs="Helvetica"/>
                            <w:b/>
                            <w:bCs/>
                            <w:color w:val="000000"/>
                            <w:sz w:val="21"/>
                            <w:szCs w:val="21"/>
                          </w:rPr>
                          <w:t xml:space="preserve"> – Sindicato das Empresas de Transportes de Cargas e Logística do Triângulo Mineiro</w:t>
                        </w:r>
                      </w:p>
                    </w:tc>
                  </w:tr>
                </w:tbl>
                <w:p w:rsidR="00F1565E" w:rsidRDefault="00F1565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F1565E" w:rsidRDefault="00F1565E">
            <w:pPr>
              <w:textAlignment w:val="top"/>
              <w:rPr>
                <w:sz w:val="2"/>
                <w:szCs w:val="2"/>
              </w:rPr>
            </w:pPr>
          </w:p>
        </w:tc>
      </w:tr>
      <w:tr w:rsidR="00F1565E" w:rsidTr="00F1565E">
        <w:tblPrEx>
          <w:shd w:val="clear" w:color="auto" w:fill="auto"/>
        </w:tblPrEx>
        <w:trPr>
          <w:tblCellSpacing w:w="0" w:type="dxa"/>
          <w:jc w:val="center"/>
        </w:trPr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500"/>
            </w:tblGrid>
            <w:tr w:rsidR="00F1565E">
              <w:trPr>
                <w:tblCellSpacing w:w="0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F1565E" w:rsidRDefault="00F1565E" w:rsidP="00F1565E">
                  <w:pPr>
                    <w:spacing w:line="0" w:lineRule="atLeast"/>
                    <w:rPr>
                      <w:rFonts w:ascii="Times New Roman" w:hAnsi="Times New Roman" w:cs="Times New Roman"/>
                      <w:sz w:val="2"/>
                      <w:szCs w:val="2"/>
                    </w:rPr>
                  </w:pPr>
                  <w:r>
                    <w:rPr>
                      <w:sz w:val="2"/>
                      <w:szCs w:val="2"/>
                    </w:rPr>
                    <w:t> </w:t>
                  </w:r>
                </w:p>
              </w:tc>
            </w:tr>
          </w:tbl>
          <w:p w:rsidR="00F1565E" w:rsidRDefault="00F1565E">
            <w:pPr>
              <w:spacing w:line="240" w:lineRule="auto"/>
              <w:textAlignment w:val="top"/>
              <w:rPr>
                <w:sz w:val="2"/>
                <w:szCs w:val="2"/>
              </w:rPr>
            </w:pPr>
          </w:p>
        </w:tc>
      </w:tr>
    </w:tbl>
    <w:p w:rsidR="0050751E" w:rsidRPr="00F1565E" w:rsidRDefault="0050751E" w:rsidP="00F1565E">
      <w:bookmarkStart w:id="0" w:name="_GoBack"/>
      <w:bookmarkEnd w:id="0"/>
    </w:p>
    <w:sectPr w:rsidR="0050751E" w:rsidRPr="00F1565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B62275B"/>
    <w:multiLevelType w:val="multilevel"/>
    <w:tmpl w:val="3008F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46B"/>
    <w:rsid w:val="0008046B"/>
    <w:rsid w:val="00263432"/>
    <w:rsid w:val="0050751E"/>
    <w:rsid w:val="00565E16"/>
    <w:rsid w:val="00F15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658B66-89CB-4E18-ABC9-24FDAE0A1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08046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8046B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customStyle="1" w:styleId="mf-30">
    <w:name w:val="mf-30"/>
    <w:basedOn w:val="Normal"/>
    <w:rsid w:val="000804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mf-301">
    <w:name w:val="mf-301"/>
    <w:basedOn w:val="Fontepargpadro"/>
    <w:rsid w:val="0008046B"/>
  </w:style>
  <w:style w:type="character" w:customStyle="1" w:styleId="mf-14">
    <w:name w:val="mf-14"/>
    <w:basedOn w:val="Fontepargpadro"/>
    <w:rsid w:val="0008046B"/>
  </w:style>
  <w:style w:type="paragraph" w:styleId="Corpodetexto">
    <w:name w:val="Body Text"/>
    <w:basedOn w:val="Normal"/>
    <w:link w:val="CorpodetextoChar"/>
    <w:uiPriority w:val="99"/>
    <w:semiHidden/>
    <w:unhideWhenUsed/>
    <w:rsid w:val="000804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08046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mf-141">
    <w:name w:val="mf-141"/>
    <w:basedOn w:val="Normal"/>
    <w:rsid w:val="000804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49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87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7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2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50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14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86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49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3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59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416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63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944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50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63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753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678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49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08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78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278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092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51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40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0682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04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99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05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54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031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4270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63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9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0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484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39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7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6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33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96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88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976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533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3021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83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036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153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570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35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9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4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463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2026-06-25T12:34:00Z</dcterms:created>
  <dcterms:modified xsi:type="dcterms:W3CDTF">2026-06-25T12:34:00Z</dcterms:modified>
</cp:coreProperties>
</file>