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0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0323B7" w:rsidRPr="000323B7" w:rsidTr="000323B7">
        <w:trPr>
          <w:tblCellSpacing w:w="0" w:type="dxa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0323B7" w:rsidRPr="000323B7">
              <w:trPr>
                <w:tblCellSpacing w:w="0" w:type="dxa"/>
              </w:trPr>
              <w:tc>
                <w:tcPr>
                  <w:tcW w:w="0" w:type="auto"/>
                  <w:shd w:val="clear" w:color="auto" w:fill="auto"/>
                  <w:tcMar>
                    <w:top w:w="600" w:type="dxa"/>
                    <w:left w:w="600" w:type="dxa"/>
                    <w:bottom w:w="300" w:type="dxa"/>
                    <w:right w:w="60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0323B7" w:rsidRPr="000323B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323B7" w:rsidRPr="000323B7" w:rsidRDefault="000323B7" w:rsidP="000323B7">
                        <w:pPr>
                          <w:spacing w:after="0" w:line="660" w:lineRule="atLeast"/>
                          <w:jc w:val="center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323B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0000"/>
                            <w:sz w:val="60"/>
                            <w:szCs w:val="60"/>
                            <w:lang w:eastAsia="pt-BR"/>
                          </w:rPr>
                          <w:t xml:space="preserve">Circular </w:t>
                        </w:r>
                        <w:proofErr w:type="spellStart"/>
                        <w:r w:rsidRPr="000323B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0000"/>
                            <w:sz w:val="60"/>
                            <w:szCs w:val="60"/>
                            <w:lang w:eastAsia="pt-BR"/>
                          </w:rPr>
                          <w:t>Settrim</w:t>
                        </w:r>
                        <w:proofErr w:type="spellEnd"/>
                        <w:r w:rsidRPr="000323B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0000"/>
                            <w:sz w:val="60"/>
                            <w:szCs w:val="60"/>
                            <w:lang w:eastAsia="pt-BR"/>
                          </w:rPr>
                          <w:t xml:space="preserve"> 008/2026 </w:t>
                        </w:r>
                      </w:p>
                    </w:tc>
                  </w:tr>
                </w:tbl>
                <w:p w:rsidR="000323B7" w:rsidRPr="000323B7" w:rsidRDefault="000323B7" w:rsidP="000323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</w:tr>
          </w:tbl>
          <w:p w:rsidR="000323B7" w:rsidRPr="000323B7" w:rsidRDefault="000323B7" w:rsidP="000323B7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"/>
                <w:szCs w:val="2"/>
                <w:lang w:eastAsia="pt-BR"/>
              </w:rPr>
            </w:pPr>
          </w:p>
        </w:tc>
      </w:tr>
    </w:tbl>
    <w:p w:rsidR="000323B7" w:rsidRPr="000323B7" w:rsidRDefault="000323B7" w:rsidP="000323B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vanish/>
          <w:color w:val="000000"/>
          <w:sz w:val="60"/>
          <w:szCs w:val="60"/>
          <w:lang w:eastAsia="pt-BR"/>
        </w:rPr>
      </w:pPr>
    </w:p>
    <w:tbl>
      <w:tblPr>
        <w:tblW w:w="1050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0323B7" w:rsidRPr="000323B7" w:rsidTr="000323B7">
        <w:trPr>
          <w:tblCellSpacing w:w="0" w:type="dxa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0323B7" w:rsidRPr="000323B7">
              <w:trPr>
                <w:tblCellSpacing w:w="0" w:type="dxa"/>
              </w:trPr>
              <w:tc>
                <w:tcPr>
                  <w:tcW w:w="0" w:type="auto"/>
                  <w:shd w:val="clear" w:color="auto" w:fill="auto"/>
                  <w:tcMar>
                    <w:top w:w="600" w:type="dxa"/>
                    <w:left w:w="600" w:type="dxa"/>
                    <w:bottom w:w="600" w:type="dxa"/>
                    <w:right w:w="60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0323B7" w:rsidRPr="000323B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323B7" w:rsidRPr="000323B7" w:rsidRDefault="000323B7" w:rsidP="000323B7">
                        <w:pPr>
                          <w:spacing w:after="0" w:line="300" w:lineRule="atLeast"/>
                          <w:jc w:val="right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bookmarkStart w:id="0" w:name="_GoBack" w:colFirst="0" w:colLast="0"/>
                        <w:r w:rsidRPr="000323B7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t-BR"/>
                          </w:rPr>
                          <w:t>SETTRIM</w:t>
                        </w:r>
                        <w:r w:rsidRPr="000323B7">
                          <w:rPr>
                            <w:rFonts w:ascii="Arial" w:eastAsia="Times New Roman" w:hAnsi="Arial" w:cs="Arial"/>
                            <w:color w:val="000000"/>
                            <w:spacing w:val="-5"/>
                            <w:sz w:val="21"/>
                            <w:szCs w:val="21"/>
                            <w:lang w:eastAsia="pt-BR"/>
                          </w:rPr>
                          <w:t xml:space="preserve"> </w:t>
                        </w:r>
                        <w:r w:rsidRPr="000323B7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t-BR"/>
                          </w:rPr>
                          <w:t>–</w:t>
                        </w:r>
                        <w:r w:rsidRPr="000323B7">
                          <w:rPr>
                            <w:rFonts w:ascii="Arial" w:eastAsia="Times New Roman" w:hAnsi="Arial" w:cs="Arial"/>
                            <w:color w:val="000000"/>
                            <w:spacing w:val="-14"/>
                            <w:sz w:val="21"/>
                            <w:szCs w:val="21"/>
                            <w:lang w:eastAsia="pt-BR"/>
                          </w:rPr>
                          <w:t xml:space="preserve"> </w:t>
                        </w:r>
                        <w:r w:rsidRPr="000323B7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t-BR"/>
                          </w:rPr>
                          <w:t>SINDICATO</w:t>
                        </w:r>
                        <w:r w:rsidRPr="000323B7">
                          <w:rPr>
                            <w:rFonts w:ascii="Arial" w:eastAsia="Times New Roman" w:hAnsi="Arial" w:cs="Arial"/>
                            <w:color w:val="000000"/>
                            <w:spacing w:val="-10"/>
                            <w:sz w:val="21"/>
                            <w:szCs w:val="21"/>
                            <w:lang w:eastAsia="pt-BR"/>
                          </w:rPr>
                          <w:t xml:space="preserve"> </w:t>
                        </w:r>
                        <w:r w:rsidRPr="000323B7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t-BR"/>
                          </w:rPr>
                          <w:t>DAS</w:t>
                        </w:r>
                        <w:r w:rsidRPr="000323B7">
                          <w:rPr>
                            <w:rFonts w:ascii="Arial" w:eastAsia="Times New Roman" w:hAnsi="Arial" w:cs="Arial"/>
                            <w:color w:val="000000"/>
                            <w:spacing w:val="-6"/>
                            <w:sz w:val="21"/>
                            <w:szCs w:val="21"/>
                            <w:lang w:eastAsia="pt-BR"/>
                          </w:rPr>
                          <w:t xml:space="preserve"> </w:t>
                        </w:r>
                        <w:r w:rsidRPr="000323B7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t-BR"/>
                          </w:rPr>
                          <w:t>EMPRESAS</w:t>
                        </w:r>
                        <w:r w:rsidRPr="000323B7">
                          <w:rPr>
                            <w:rFonts w:ascii="Arial" w:eastAsia="Times New Roman" w:hAnsi="Arial" w:cs="Arial"/>
                            <w:color w:val="000000"/>
                            <w:spacing w:val="-10"/>
                            <w:sz w:val="21"/>
                            <w:szCs w:val="21"/>
                            <w:lang w:eastAsia="pt-BR"/>
                          </w:rPr>
                          <w:t xml:space="preserve"> </w:t>
                        </w:r>
                        <w:r w:rsidRPr="000323B7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t-BR"/>
                          </w:rPr>
                          <w:t>DE</w:t>
                        </w:r>
                        <w:r w:rsidRPr="000323B7">
                          <w:rPr>
                            <w:rFonts w:ascii="Arial" w:eastAsia="Times New Roman" w:hAnsi="Arial" w:cs="Arial"/>
                            <w:color w:val="000000"/>
                            <w:spacing w:val="-13"/>
                            <w:sz w:val="21"/>
                            <w:szCs w:val="21"/>
                            <w:lang w:eastAsia="pt-BR"/>
                          </w:rPr>
                          <w:t xml:space="preserve"> </w:t>
                        </w:r>
                        <w:r w:rsidRPr="000323B7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t-BR"/>
                          </w:rPr>
                          <w:t>TRANSPORTES</w:t>
                        </w:r>
                        <w:r w:rsidRPr="000323B7">
                          <w:rPr>
                            <w:rFonts w:ascii="Arial" w:eastAsia="Times New Roman" w:hAnsi="Arial" w:cs="Arial"/>
                            <w:color w:val="000000"/>
                            <w:spacing w:val="-10"/>
                            <w:sz w:val="21"/>
                            <w:szCs w:val="21"/>
                            <w:lang w:eastAsia="pt-BR"/>
                          </w:rPr>
                          <w:t xml:space="preserve"> </w:t>
                        </w:r>
                        <w:r w:rsidRPr="000323B7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t-BR"/>
                          </w:rPr>
                          <w:t>DE</w:t>
                        </w:r>
                        <w:r w:rsidRPr="000323B7">
                          <w:rPr>
                            <w:rFonts w:ascii="Arial" w:eastAsia="Times New Roman" w:hAnsi="Arial" w:cs="Arial"/>
                            <w:color w:val="000000"/>
                            <w:spacing w:val="-14"/>
                            <w:sz w:val="21"/>
                            <w:szCs w:val="21"/>
                            <w:lang w:eastAsia="pt-BR"/>
                          </w:rPr>
                          <w:t xml:space="preserve"> </w:t>
                        </w:r>
                        <w:r w:rsidRPr="000323B7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t-BR"/>
                          </w:rPr>
                          <w:t>CARGAS</w:t>
                        </w:r>
                        <w:r w:rsidRPr="000323B7">
                          <w:rPr>
                            <w:rFonts w:ascii="Arial" w:eastAsia="Times New Roman" w:hAnsi="Arial" w:cs="Arial"/>
                            <w:color w:val="000000"/>
                            <w:spacing w:val="-7"/>
                            <w:sz w:val="21"/>
                            <w:szCs w:val="21"/>
                            <w:lang w:eastAsia="pt-BR"/>
                          </w:rPr>
                          <w:t xml:space="preserve"> </w:t>
                        </w:r>
                        <w:r w:rsidRPr="000323B7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t-BR"/>
                          </w:rPr>
                          <w:t>E</w:t>
                        </w:r>
                        <w:r w:rsidRPr="000323B7">
                          <w:rPr>
                            <w:rFonts w:ascii="Arial" w:eastAsia="Times New Roman" w:hAnsi="Arial" w:cs="Arial"/>
                            <w:color w:val="000000"/>
                            <w:spacing w:val="-11"/>
                            <w:sz w:val="21"/>
                            <w:szCs w:val="21"/>
                            <w:lang w:eastAsia="pt-BR"/>
                          </w:rPr>
                          <w:t xml:space="preserve"> </w:t>
                        </w:r>
                        <w:r w:rsidRPr="000323B7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t-BR"/>
                          </w:rPr>
                          <w:t>LOGÍSTICA DO TRIÂNGULO MINEIRO</w:t>
                        </w:r>
                      </w:p>
                      <w:p w:rsidR="000323B7" w:rsidRPr="000323B7" w:rsidRDefault="000323B7" w:rsidP="000323B7">
                        <w:pPr>
                          <w:spacing w:after="0" w:line="300" w:lineRule="atLeast"/>
                          <w:jc w:val="right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323B7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Uberlândia-MG,</w:t>
                        </w:r>
                        <w:r w:rsidRPr="000323B7">
                          <w:rPr>
                            <w:rFonts w:ascii="Tahoma" w:eastAsia="Times New Roman" w:hAnsi="Tahoma" w:cs="Tahoma"/>
                            <w:color w:val="000000"/>
                            <w:spacing w:val="-7"/>
                            <w:sz w:val="21"/>
                            <w:szCs w:val="21"/>
                            <w:lang w:eastAsia="pt-BR"/>
                          </w:rPr>
                          <w:t xml:space="preserve"> 22 </w:t>
                        </w:r>
                        <w:r w:rsidRPr="000323B7">
                          <w:rPr>
                            <w:rFonts w:ascii="Tahoma" w:eastAsia="Times New Roman" w:hAnsi="Tahoma" w:cs="Tahoma"/>
                            <w:color w:val="000000"/>
                            <w:sz w:val="21"/>
                            <w:szCs w:val="21"/>
                            <w:lang w:eastAsia="pt-BR"/>
                          </w:rPr>
                          <w:t>de maio de 2026</w:t>
                        </w:r>
                        <w:r w:rsidRPr="000323B7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pt-BR"/>
                          </w:rPr>
                          <w:t xml:space="preserve"> </w:t>
                        </w:r>
                      </w:p>
                      <w:p w:rsidR="000323B7" w:rsidRPr="000323B7" w:rsidRDefault="000323B7" w:rsidP="000323B7">
                        <w:pPr>
                          <w:spacing w:after="0" w:line="300" w:lineRule="atLeast"/>
                          <w:jc w:val="center"/>
                          <w:outlineLvl w:val="0"/>
                          <w:rPr>
                            <w:rFonts w:ascii="Helvetica" w:eastAsia="Times New Roman" w:hAnsi="Helvetica" w:cs="Helvetica"/>
                            <w:color w:val="000000"/>
                            <w:kern w:val="36"/>
                            <w:sz w:val="60"/>
                            <w:szCs w:val="60"/>
                            <w:lang w:eastAsia="pt-BR"/>
                          </w:rPr>
                        </w:pPr>
                        <w:r w:rsidRPr="000323B7">
                          <w:rPr>
                            <w:rFonts w:ascii="Helvetica" w:eastAsia="Times New Roman" w:hAnsi="Helvetica" w:cs="Helvetica"/>
                            <w:color w:val="000000"/>
                            <w:kern w:val="36"/>
                            <w:sz w:val="60"/>
                            <w:szCs w:val="60"/>
                            <w:lang w:eastAsia="pt-BR"/>
                          </w:rPr>
                          <w:t> </w:t>
                        </w:r>
                      </w:p>
                      <w:p w:rsidR="000323B7" w:rsidRPr="000323B7" w:rsidRDefault="000323B7" w:rsidP="000323B7">
                        <w:pPr>
                          <w:spacing w:after="0" w:line="30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323B7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Aos</w:t>
                        </w:r>
                        <w:r w:rsidRPr="000323B7"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  <w:br/>
                        </w:r>
                        <w:r w:rsidRPr="000323B7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Senhores Empresários e Empresas Associadas ao SETTRIM</w:t>
                        </w:r>
                      </w:p>
                      <w:p w:rsidR="000323B7" w:rsidRPr="000323B7" w:rsidRDefault="000323B7" w:rsidP="000323B7">
                        <w:pPr>
                          <w:spacing w:after="0" w:line="30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323B7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Prezados Senhores,</w:t>
                        </w:r>
                      </w:p>
                      <w:p w:rsidR="000323B7" w:rsidRPr="000323B7" w:rsidRDefault="000323B7" w:rsidP="000323B7">
                        <w:pPr>
                          <w:spacing w:after="0" w:line="30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323B7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O SINDICATO DAS EMPRESAS DE TRANSPORTES DE CARGAS E LOGÍSTICA DO TRIÂNGULO MINEIRO – SETTRIM, por meio desta circular, comunica às empresas associadas e às demais integrantes do segmento econômico do transporte rodoviário de cargas, logística e movimentação de mercadorias, a publicação pela Agência Nacional de Transportes Terrestres – ANTT das Portarias SUROC nº 6/2026 e nº 16/2026, que estabelecem e ajustam as novas regras operacionais e validações sistêmicas para geração, retificação, cancelamento e encerramento do CIOT – Código Identificador da Operação de Transporte.</w:t>
                        </w:r>
                      </w:p>
                      <w:p w:rsidR="000323B7" w:rsidRPr="000323B7" w:rsidRDefault="000323B7" w:rsidP="000323B7">
                        <w:pPr>
                          <w:spacing w:after="0" w:line="30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323B7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A Portaria SUROC nº 6, de 23 de abril de 2026, consolida alterações promovidas pela Resolução ANTT nº 6.078/2026 e passa a disciplinar de forma mais rigorosa os procedimentos de cadastramento, vinculação, controle e encerramento das operações de transporte rodoviário remunerado de cargas, reforçando o CIOT como instrumento de fiscalização e regularidade das operações.</w:t>
                        </w:r>
                      </w:p>
                      <w:p w:rsidR="000323B7" w:rsidRPr="000323B7" w:rsidRDefault="000323B7" w:rsidP="000323B7">
                        <w:pPr>
                          <w:spacing w:after="0" w:line="30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323B7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Dentre as principais mudanças, destacam-se:</w:t>
                        </w:r>
                      </w:p>
                      <w:p w:rsidR="000323B7" w:rsidRPr="000323B7" w:rsidRDefault="000323B7" w:rsidP="000323B7">
                        <w:pPr>
                          <w:numPr>
                            <w:ilvl w:val="0"/>
                            <w:numId w:val="1"/>
                          </w:numPr>
                          <w:spacing w:after="0" w:line="300" w:lineRule="atLeast"/>
                          <w:ind w:left="0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323B7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obrigatoriedade de geração do CIOT antes do início da viagem, com cadastramento completo das informações da operação;</w:t>
                        </w:r>
                      </w:p>
                      <w:p w:rsidR="000323B7" w:rsidRPr="000323B7" w:rsidRDefault="000323B7" w:rsidP="000323B7">
                        <w:pPr>
                          <w:numPr>
                            <w:ilvl w:val="0"/>
                            <w:numId w:val="1"/>
                          </w:numPr>
                          <w:spacing w:after="0" w:line="300" w:lineRule="atLeast"/>
                          <w:ind w:left="0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323B7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vinculação obrigatória do CIOT ao MDF-e (Manifesto Eletrônico de Documentos Fiscais);</w:t>
                        </w:r>
                      </w:p>
                      <w:p w:rsidR="000323B7" w:rsidRPr="000323B7" w:rsidRDefault="000323B7" w:rsidP="000323B7">
                        <w:pPr>
                          <w:numPr>
                            <w:ilvl w:val="0"/>
                            <w:numId w:val="1"/>
                          </w:numPr>
                          <w:spacing w:after="0" w:line="300" w:lineRule="atLeast"/>
                          <w:ind w:left="0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323B7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novas regras para cancelamento e encerramento das operações, com prazos específicos estabelecidos pela ANTT;</w:t>
                        </w:r>
                      </w:p>
                      <w:p w:rsidR="000323B7" w:rsidRPr="000323B7" w:rsidRDefault="000323B7" w:rsidP="000323B7">
                        <w:pPr>
                          <w:numPr>
                            <w:ilvl w:val="0"/>
                            <w:numId w:val="1"/>
                          </w:numPr>
                          <w:spacing w:after="0" w:line="300" w:lineRule="atLeast"/>
                          <w:ind w:left="0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323B7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possibilidade de geração de CIOT em contingência, em casos excepcionais de falha técnica, observados os prazos regulamentares;</w:t>
                        </w:r>
                      </w:p>
                      <w:p w:rsidR="000323B7" w:rsidRPr="000323B7" w:rsidRDefault="000323B7" w:rsidP="000323B7">
                        <w:pPr>
                          <w:numPr>
                            <w:ilvl w:val="0"/>
                            <w:numId w:val="1"/>
                          </w:numPr>
                          <w:spacing w:after="0" w:line="300" w:lineRule="atLeast"/>
                          <w:ind w:left="0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323B7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previsão de bloqueios sistêmicos e impedimentos para novas operações em caso de pendências cadastrais ou ausência de encerramento.</w:t>
                        </w:r>
                      </w:p>
                      <w:p w:rsidR="000323B7" w:rsidRPr="000323B7" w:rsidRDefault="000323B7" w:rsidP="000323B7">
                        <w:pPr>
                          <w:spacing w:after="0" w:line="30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323B7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 xml:space="preserve">A norma também estabelece critérios específicos para classificação das operações de transporte </w:t>
                        </w:r>
                        <w:proofErr w:type="spellStart"/>
                        <w:r w:rsidRPr="000323B7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como</w:t>
                        </w:r>
                        <w:proofErr w:type="spellEnd"/>
                        <w:r w:rsidRPr="000323B7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 xml:space="preserve"> carga lotação, carga fracionada e TAC-Agregado, com impactos diretos no registro da operação e nas validações sistêmicas realizadas pela ANTT.</w:t>
                        </w:r>
                      </w:p>
                      <w:p w:rsidR="000323B7" w:rsidRPr="000323B7" w:rsidRDefault="000323B7" w:rsidP="000323B7">
                        <w:pPr>
                          <w:spacing w:after="0" w:line="30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323B7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No caso das operações de carga lotação, a nova regulamentação determina que a existência de um único contratante não implica, de forma automática, na aplicação do piso mínimo de frete, ficando sujeita à análise de outros critérios técnicos previstos na regulamentação.</w:t>
                        </w:r>
                      </w:p>
                      <w:p w:rsidR="000323B7" w:rsidRPr="000323B7" w:rsidRDefault="000323B7" w:rsidP="000323B7">
                        <w:pPr>
                          <w:spacing w:after="0" w:line="30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323B7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lastRenderedPageBreak/>
                          <w:t>Já para as operações de carga fracionada, passa a ser possível a emissão de um único CIOT para toda a viagem, desde que sejam corretamente registrados os diversos contratantes e, quando aplicável, os vários destinos envolvidos na operação.</w:t>
                        </w:r>
                      </w:p>
                      <w:p w:rsidR="000323B7" w:rsidRPr="000323B7" w:rsidRDefault="000323B7" w:rsidP="000323B7">
                        <w:pPr>
                          <w:spacing w:after="0" w:line="30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323B7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A Portaria SUROC nº 16, de 20 de maio de 2026, promoveu ajustes complementares à norma anterior, esclarecendo conceitos operacionais e detalhando regras específicas para o enquadramento das operações, inclusive no que se refere ao TAC-Agregado, que passa a ser caracterizado mediante critérios como:</w:t>
                        </w:r>
                      </w:p>
                      <w:p w:rsidR="000323B7" w:rsidRPr="000323B7" w:rsidRDefault="000323B7" w:rsidP="000323B7">
                        <w:pPr>
                          <w:numPr>
                            <w:ilvl w:val="0"/>
                            <w:numId w:val="2"/>
                          </w:numPr>
                          <w:spacing w:after="0" w:line="300" w:lineRule="atLeast"/>
                          <w:ind w:left="0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323B7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utilização de veículo próprio ou sob posse;</w:t>
                        </w:r>
                      </w:p>
                      <w:p w:rsidR="000323B7" w:rsidRPr="000323B7" w:rsidRDefault="000323B7" w:rsidP="000323B7">
                        <w:pPr>
                          <w:numPr>
                            <w:ilvl w:val="0"/>
                            <w:numId w:val="2"/>
                          </w:numPr>
                          <w:spacing w:after="0" w:line="300" w:lineRule="atLeast"/>
                          <w:ind w:left="0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323B7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veículo devidamente cadastrado no RNTRC;</w:t>
                        </w:r>
                      </w:p>
                      <w:p w:rsidR="000323B7" w:rsidRPr="000323B7" w:rsidRDefault="000323B7" w:rsidP="000323B7">
                        <w:pPr>
                          <w:numPr>
                            <w:ilvl w:val="0"/>
                            <w:numId w:val="2"/>
                          </w:numPr>
                          <w:spacing w:after="0" w:line="300" w:lineRule="atLeast"/>
                          <w:ind w:left="0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323B7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exclusividade de prestação de serviço para embarcador ou transportadora;</w:t>
                        </w:r>
                      </w:p>
                      <w:p w:rsidR="000323B7" w:rsidRPr="000323B7" w:rsidRDefault="000323B7" w:rsidP="000323B7">
                        <w:pPr>
                          <w:numPr>
                            <w:ilvl w:val="0"/>
                            <w:numId w:val="2"/>
                          </w:numPr>
                          <w:spacing w:after="0" w:line="300" w:lineRule="atLeast"/>
                          <w:ind w:left="0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323B7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remuneração previamente estabelecida.</w:t>
                        </w:r>
                      </w:p>
                      <w:p w:rsidR="000323B7" w:rsidRPr="000323B7" w:rsidRDefault="000323B7" w:rsidP="000323B7">
                        <w:pPr>
                          <w:spacing w:after="0" w:line="30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323B7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Outro ponto relevante diz respeito às operações com subcontratação, em que o CIOT deverá ser gerado exclusivamente entre a empresa subcontratante e quem efetivamente realizará o transporte, evitando duplicidade de registros e inconsistências sistêmicas perante a ANTT.</w:t>
                        </w:r>
                      </w:p>
                      <w:p w:rsidR="000323B7" w:rsidRPr="000323B7" w:rsidRDefault="000323B7" w:rsidP="000323B7">
                        <w:pPr>
                          <w:spacing w:after="0" w:line="30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323B7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Diante dessas alterações, o SETTRIM recomenda que todas as empresas associadas realizem imediata adequação de seus processos internos, sistemas de emissão e procedimentos operacionais, a fim de garantir conformidade com a nova regulamentação e evitar autuações, impedimentos operacionais e pendências cadastrais junto à ANTT.</w:t>
                        </w:r>
                      </w:p>
                      <w:p w:rsidR="000323B7" w:rsidRPr="000323B7" w:rsidRDefault="000323B7" w:rsidP="000323B7">
                        <w:pPr>
                          <w:spacing w:after="0" w:line="30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323B7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Reforçamos a importância de especial atenção às operações envolvendo contratantes de frete, TAC-Agregado, subcontratações, emissão de MDF-e e encerramento tempestivo do CIOT, em razão dos impactos diretos na fiscalização e na regularidade das operações de transporte.</w:t>
                        </w:r>
                      </w:p>
                      <w:p w:rsidR="000323B7" w:rsidRPr="000323B7" w:rsidRDefault="000323B7" w:rsidP="000323B7">
                        <w:pPr>
                          <w:spacing w:after="0" w:line="30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323B7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Permanecemos à disposição para esclarecimentos adicionais.</w:t>
                        </w:r>
                      </w:p>
                      <w:p w:rsidR="000323B7" w:rsidRPr="000323B7" w:rsidRDefault="000323B7" w:rsidP="000323B7">
                        <w:pPr>
                          <w:spacing w:after="0" w:line="30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323B7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Atenciosamente,</w:t>
                        </w:r>
                      </w:p>
                      <w:p w:rsidR="000323B7" w:rsidRPr="000323B7" w:rsidRDefault="000323B7" w:rsidP="000323B7">
                        <w:pPr>
                          <w:spacing w:after="0" w:line="30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323B7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SETTRIM – Sindicato das Empresas de Transportes de Cargas e Logística do Triângulo Mineiro</w:t>
                        </w:r>
                      </w:p>
                      <w:p w:rsidR="000323B7" w:rsidRPr="000323B7" w:rsidRDefault="000323B7" w:rsidP="000323B7">
                        <w:pPr>
                          <w:spacing w:after="0" w:line="30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323B7"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  <w:t> </w:t>
                        </w:r>
                      </w:p>
                      <w:p w:rsidR="000323B7" w:rsidRPr="000323B7" w:rsidRDefault="000323B7" w:rsidP="000323B7">
                        <w:pPr>
                          <w:spacing w:after="0" w:line="30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323B7"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  <w:t> </w:t>
                        </w:r>
                      </w:p>
                    </w:tc>
                  </w:tr>
                  <w:bookmarkEnd w:id="0"/>
                </w:tbl>
                <w:p w:rsidR="000323B7" w:rsidRPr="000323B7" w:rsidRDefault="000323B7" w:rsidP="000323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</w:tr>
          </w:tbl>
          <w:p w:rsidR="000323B7" w:rsidRPr="000323B7" w:rsidRDefault="000323B7" w:rsidP="000323B7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"/>
                <w:szCs w:val="2"/>
                <w:lang w:eastAsia="pt-BR"/>
              </w:rPr>
            </w:pPr>
          </w:p>
        </w:tc>
      </w:tr>
    </w:tbl>
    <w:p w:rsidR="000323B7" w:rsidRPr="000323B7" w:rsidRDefault="000323B7" w:rsidP="000323B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vanish/>
          <w:color w:val="000000"/>
          <w:sz w:val="27"/>
          <w:szCs w:val="27"/>
          <w:lang w:eastAsia="pt-BR"/>
        </w:rPr>
      </w:pPr>
    </w:p>
    <w:tbl>
      <w:tblPr>
        <w:tblW w:w="1050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0323B7" w:rsidRPr="000323B7" w:rsidTr="000323B7">
        <w:trPr>
          <w:tblCellSpacing w:w="0" w:type="dxa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0323B7" w:rsidRPr="000323B7">
              <w:trPr>
                <w:tblCellSpacing w:w="0" w:type="dxa"/>
              </w:trPr>
              <w:tc>
                <w:tcPr>
                  <w:tcW w:w="0" w:type="auto"/>
                  <w:shd w:val="clear" w:color="auto" w:fill="auto"/>
                  <w:tcMar>
                    <w:top w:w="300" w:type="dxa"/>
                    <w:left w:w="600" w:type="dxa"/>
                    <w:bottom w:w="300" w:type="dxa"/>
                    <w:right w:w="60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0323B7" w:rsidRPr="000323B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323B7" w:rsidRPr="000323B7" w:rsidRDefault="000323B7" w:rsidP="000323B7">
                        <w:pPr>
                          <w:spacing w:after="0" w:line="33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pt-BR"/>
                          </w:rPr>
                        </w:pPr>
                        <w:r w:rsidRPr="000323B7">
                          <w:rPr>
                            <w:rFonts w:ascii="Tahoma" w:eastAsia="Times New Roman" w:hAnsi="Tahoma" w:cs="Tahoma"/>
                            <w:color w:val="000000"/>
                            <w:sz w:val="21"/>
                            <w:szCs w:val="21"/>
                            <w:lang w:eastAsia="pt-BR"/>
                          </w:rPr>
                          <w:t xml:space="preserve">O </w:t>
                        </w:r>
                        <w:proofErr w:type="spellStart"/>
                        <w:r w:rsidRPr="000323B7">
                          <w:rPr>
                            <w:rFonts w:ascii="Tahoma" w:eastAsia="Times New Roman" w:hAnsi="Tahoma" w:cs="Tahoma"/>
                            <w:color w:val="000000"/>
                            <w:sz w:val="21"/>
                            <w:szCs w:val="21"/>
                            <w:lang w:eastAsia="pt-BR"/>
                          </w:rPr>
                          <w:t>Settrim</w:t>
                        </w:r>
                        <w:proofErr w:type="spellEnd"/>
                        <w:r w:rsidRPr="000323B7">
                          <w:rPr>
                            <w:rFonts w:ascii="Tahoma" w:eastAsia="Times New Roman" w:hAnsi="Tahoma" w:cs="Tahoma"/>
                            <w:color w:val="000000"/>
                            <w:sz w:val="21"/>
                            <w:szCs w:val="21"/>
                            <w:lang w:eastAsia="pt-BR"/>
                          </w:rPr>
                          <w:t xml:space="preserve"> oferece Assessoria Jurídica Especializada no setor de transporte, com atendimento no escritório, de 9h às 12h e de 14h às 17h, em parceria com o escritório Sanders Barão Advogados Associados.</w:t>
                        </w:r>
                      </w:p>
                      <w:p w:rsidR="000323B7" w:rsidRPr="000323B7" w:rsidRDefault="000323B7" w:rsidP="000323B7">
                        <w:pPr>
                          <w:spacing w:after="0" w:line="330" w:lineRule="atLeast"/>
                          <w:jc w:val="center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pt-BR"/>
                          </w:rPr>
                        </w:pPr>
                        <w:r w:rsidRPr="000323B7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pt-BR"/>
                          </w:rPr>
                          <w:t> </w:t>
                        </w:r>
                      </w:p>
                      <w:p w:rsidR="000323B7" w:rsidRPr="000323B7" w:rsidRDefault="000323B7" w:rsidP="000323B7">
                        <w:pPr>
                          <w:spacing w:after="0" w:line="33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pt-BR"/>
                          </w:rPr>
                        </w:pPr>
                        <w:r w:rsidRPr="000323B7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pt-BR"/>
                          </w:rPr>
                          <w:t>Atenciosamente,</w:t>
                        </w:r>
                      </w:p>
                      <w:p w:rsidR="000323B7" w:rsidRPr="000323B7" w:rsidRDefault="000323B7" w:rsidP="000323B7">
                        <w:pPr>
                          <w:spacing w:after="0" w:line="33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pt-BR"/>
                          </w:rPr>
                        </w:pPr>
                        <w:proofErr w:type="spellStart"/>
                        <w:r w:rsidRPr="000323B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  <w:lang w:eastAsia="pt-BR"/>
                          </w:rPr>
                          <w:t>Settrim</w:t>
                        </w:r>
                        <w:proofErr w:type="spellEnd"/>
                        <w:r w:rsidRPr="000323B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  <w:lang w:eastAsia="pt-BR"/>
                          </w:rPr>
                          <w:t xml:space="preserve"> – Sindicato das Empresas de Transportes de Cargas e Logística do Triângulo Mineiro</w:t>
                        </w:r>
                      </w:p>
                    </w:tc>
                  </w:tr>
                </w:tbl>
                <w:p w:rsidR="000323B7" w:rsidRPr="000323B7" w:rsidRDefault="000323B7" w:rsidP="000323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</w:tr>
          </w:tbl>
          <w:p w:rsidR="000323B7" w:rsidRPr="000323B7" w:rsidRDefault="000323B7" w:rsidP="000323B7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"/>
                <w:szCs w:val="2"/>
                <w:lang w:eastAsia="pt-BR"/>
              </w:rPr>
            </w:pPr>
          </w:p>
        </w:tc>
      </w:tr>
    </w:tbl>
    <w:p w:rsidR="009F75A5" w:rsidRDefault="009F75A5"/>
    <w:sectPr w:rsidR="009F75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255D8"/>
    <w:multiLevelType w:val="multilevel"/>
    <w:tmpl w:val="F5BE2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1B7CE4"/>
    <w:multiLevelType w:val="multilevel"/>
    <w:tmpl w:val="35683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3B7"/>
    <w:rsid w:val="000323B7"/>
    <w:rsid w:val="009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C6D48E-F70D-47FE-8D15-CEE1E50B5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0323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323B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customStyle="1" w:styleId="mf-30">
    <w:name w:val="mf-30"/>
    <w:basedOn w:val="Normal"/>
    <w:rsid w:val="00032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f-301">
    <w:name w:val="mf-301"/>
    <w:basedOn w:val="Fontepargpadro"/>
    <w:rsid w:val="000323B7"/>
  </w:style>
  <w:style w:type="character" w:customStyle="1" w:styleId="mf-14">
    <w:name w:val="mf-14"/>
    <w:basedOn w:val="Fontepargpadro"/>
    <w:rsid w:val="000323B7"/>
  </w:style>
  <w:style w:type="paragraph" w:styleId="Corpodetexto">
    <w:name w:val="Body Text"/>
    <w:basedOn w:val="Normal"/>
    <w:link w:val="CorpodetextoChar"/>
    <w:uiPriority w:val="99"/>
    <w:semiHidden/>
    <w:unhideWhenUsed/>
    <w:rsid w:val="00032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323B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mf-141">
    <w:name w:val="mf-141"/>
    <w:basedOn w:val="Normal"/>
    <w:rsid w:val="00032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15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9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3718</Characters>
  <Application>Microsoft Office Word</Application>
  <DocSecurity>0</DocSecurity>
  <Lines>30</Lines>
  <Paragraphs>8</Paragraphs>
  <ScaleCrop>false</ScaleCrop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2026-06-25T12:31:00Z</dcterms:created>
  <dcterms:modified xsi:type="dcterms:W3CDTF">2026-06-25T12:31:00Z</dcterms:modified>
</cp:coreProperties>
</file>